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5104"/>
        <w:gridCol w:w="5387"/>
      </w:tblGrid>
      <w:tr w:rsidR="00FF3542" w:rsidRPr="00FF3542" w:rsidTr="00A05BFA">
        <w:trPr>
          <w:trHeight w:val="1266"/>
        </w:trPr>
        <w:tc>
          <w:tcPr>
            <w:tcW w:w="5104" w:type="dxa"/>
          </w:tcPr>
          <w:p w:rsidR="00FF3542" w:rsidRPr="00FF3542" w:rsidRDefault="00FF3542" w:rsidP="00FF3542">
            <w:pPr>
              <w:spacing w:after="0" w:line="240" w:lineRule="auto"/>
              <w:jc w:val="center"/>
              <w:rPr>
                <w:rFonts w:ascii="Times New Roman" w:eastAsia="Calibri" w:hAnsi="Times New Roman" w:cs="Times New Roman"/>
                <w:sz w:val="28"/>
                <w:szCs w:val="26"/>
              </w:rPr>
            </w:pPr>
            <w:r w:rsidRPr="00FF3542">
              <w:rPr>
                <w:rFonts w:ascii="Times New Roman" w:eastAsia="Calibri" w:hAnsi="Times New Roman" w:cs="Times New Roman"/>
                <w:sz w:val="28"/>
                <w:szCs w:val="26"/>
              </w:rPr>
              <w:t>BỘ TƯ PHÁP</w:t>
            </w:r>
          </w:p>
          <w:p w:rsidR="00FF3542" w:rsidRPr="00FF3542" w:rsidRDefault="00FF3542" w:rsidP="00FF3542">
            <w:pPr>
              <w:spacing w:after="0" w:line="240" w:lineRule="auto"/>
              <w:jc w:val="center"/>
              <w:rPr>
                <w:rFonts w:ascii="Times New Roman" w:eastAsia="Calibri" w:hAnsi="Times New Roman" w:cs="Times New Roman"/>
                <w:b/>
                <w:spacing w:val="-6"/>
                <w:sz w:val="26"/>
                <w:szCs w:val="26"/>
              </w:rPr>
            </w:pPr>
            <w:r w:rsidRPr="00FF3542">
              <w:rPr>
                <w:rFonts w:ascii="Times New Roman" w:eastAsia="Calibri" w:hAnsi="Times New Roman" w:cs="Times New Roman"/>
                <w:b/>
                <w:spacing w:val="-6"/>
                <w:sz w:val="26"/>
                <w:szCs w:val="26"/>
              </w:rPr>
              <w:t>VỤ PHỔ BIẾN, GIÁO DỤC PHÁP LUẬT</w:t>
            </w:r>
          </w:p>
          <w:p w:rsidR="00FF3542" w:rsidRPr="00FF3542" w:rsidRDefault="00FF3542" w:rsidP="00FF3542">
            <w:pPr>
              <w:spacing w:after="0" w:line="240" w:lineRule="auto"/>
              <w:jc w:val="center"/>
              <w:rPr>
                <w:rFonts w:ascii="Times New Roman" w:eastAsia="Calibri" w:hAnsi="Times New Roman" w:cs="Times New Roman"/>
                <w:b/>
                <w:spacing w:val="-6"/>
                <w:sz w:val="12"/>
                <w:szCs w:val="26"/>
              </w:rPr>
            </w:pPr>
            <w:r w:rsidRPr="00FF3542">
              <w:rPr>
                <w:rFonts w:ascii="Times New Roman" w:eastAsia="Calibri" w:hAnsi="Times New Roman" w:cs="Times New Roman"/>
                <w:b/>
                <w:spacing w:val="-6"/>
                <w:sz w:val="12"/>
                <w:szCs w:val="26"/>
              </w:rPr>
              <w:t>__________________________</w:t>
            </w:r>
          </w:p>
          <w:p w:rsidR="00FF3542" w:rsidRPr="00FF3542" w:rsidRDefault="00FF3542" w:rsidP="00FF3542">
            <w:pPr>
              <w:spacing w:after="0" w:line="240" w:lineRule="auto"/>
              <w:ind w:left="546" w:right="13" w:hanging="546"/>
              <w:rPr>
                <w:rFonts w:ascii="Times New Roman" w:eastAsia="Calibri" w:hAnsi="Times New Roman" w:cs="Times New Roman"/>
                <w:sz w:val="26"/>
                <w:szCs w:val="26"/>
              </w:rPr>
            </w:pPr>
          </w:p>
          <w:p w:rsidR="00FF3542" w:rsidRPr="00FF3542" w:rsidRDefault="00FF3542" w:rsidP="00FF3542">
            <w:pPr>
              <w:spacing w:after="0" w:line="240" w:lineRule="auto"/>
              <w:ind w:right="13"/>
              <w:rPr>
                <w:rFonts w:ascii="Times New Roman" w:eastAsia="Calibri" w:hAnsi="Times New Roman" w:cs="Times New Roman"/>
                <w:sz w:val="44"/>
                <w:szCs w:val="44"/>
              </w:rPr>
            </w:pPr>
          </w:p>
        </w:tc>
        <w:tc>
          <w:tcPr>
            <w:tcW w:w="5387" w:type="dxa"/>
          </w:tcPr>
          <w:p w:rsidR="00FF3542" w:rsidRPr="00FF3542" w:rsidRDefault="00FF3542" w:rsidP="00FF3542">
            <w:pPr>
              <w:spacing w:after="0" w:line="240" w:lineRule="auto"/>
              <w:jc w:val="center"/>
              <w:rPr>
                <w:rFonts w:ascii="Times New Roman" w:eastAsia="Calibri" w:hAnsi="Times New Roman" w:cs="Times New Roman"/>
                <w:sz w:val="28"/>
                <w:szCs w:val="27"/>
              </w:rPr>
            </w:pPr>
            <w:r w:rsidRPr="00FF3542">
              <w:rPr>
                <w:rFonts w:ascii="Times New Roman" w:eastAsia="Calibri" w:hAnsi="Times New Roman" w:cs="Times New Roman"/>
                <w:sz w:val="28"/>
                <w:szCs w:val="27"/>
              </w:rPr>
              <w:t>BỘ KẾ HOẠCH VÀ ĐẦU TƯ</w:t>
            </w:r>
          </w:p>
          <w:p w:rsidR="00FF3542" w:rsidRPr="00FF3542" w:rsidRDefault="00FF3542" w:rsidP="00FF3542">
            <w:pPr>
              <w:spacing w:after="0" w:line="240" w:lineRule="auto"/>
              <w:jc w:val="center"/>
              <w:rPr>
                <w:rFonts w:ascii="Times New Roman" w:eastAsia="Calibri" w:hAnsi="Times New Roman" w:cs="Times New Roman"/>
                <w:b/>
                <w:sz w:val="26"/>
                <w:szCs w:val="26"/>
              </w:rPr>
            </w:pPr>
            <w:r w:rsidRPr="00FF3542">
              <w:rPr>
                <w:rFonts w:ascii="Times New Roman" w:eastAsia="Calibri" w:hAnsi="Times New Roman" w:cs="Times New Roman"/>
                <w:b/>
                <w:sz w:val="26"/>
                <w:szCs w:val="26"/>
              </w:rPr>
              <w:t>VỤ PHƯƠNG PHÁP CHẾ ĐỘ VÀ QUẢN LÝ CHẤT LƯỢNG THỐNG KÊ</w:t>
            </w:r>
          </w:p>
          <w:p w:rsidR="00FF3542" w:rsidRPr="00FF3542" w:rsidRDefault="00FF3542" w:rsidP="00FF3542">
            <w:pPr>
              <w:spacing w:after="0" w:line="240" w:lineRule="auto"/>
              <w:jc w:val="center"/>
              <w:rPr>
                <w:rFonts w:ascii="Times New Roman" w:eastAsia="Calibri" w:hAnsi="Times New Roman" w:cs="Times New Roman"/>
                <w:b/>
                <w:sz w:val="12"/>
                <w:szCs w:val="26"/>
              </w:rPr>
            </w:pPr>
            <w:r w:rsidRPr="00FF3542">
              <w:rPr>
                <w:rFonts w:ascii="Times New Roman" w:eastAsia="Calibri" w:hAnsi="Times New Roman" w:cs="Times New Roman"/>
                <w:b/>
                <w:sz w:val="12"/>
                <w:szCs w:val="26"/>
              </w:rPr>
              <w:t>_______________</w:t>
            </w:r>
          </w:p>
          <w:p w:rsidR="00FF3542" w:rsidRPr="00FF3542" w:rsidRDefault="00FF3542" w:rsidP="00FF3542">
            <w:pPr>
              <w:widowControl w:val="0"/>
              <w:spacing w:after="0" w:line="240" w:lineRule="auto"/>
              <w:jc w:val="center"/>
              <w:outlineLvl w:val="0"/>
              <w:rPr>
                <w:rFonts w:ascii="Times New Roman" w:eastAsia="Times New Roman" w:hAnsi="Times New Roman" w:cs="Times New Roman"/>
                <w:bCs/>
                <w:sz w:val="26"/>
                <w:szCs w:val="26"/>
              </w:rPr>
            </w:pPr>
          </w:p>
        </w:tc>
      </w:tr>
    </w:tbl>
    <w:p w:rsidR="00FF3542" w:rsidRPr="00FF3542" w:rsidRDefault="00FF3542" w:rsidP="00FF3542">
      <w:pPr>
        <w:spacing w:after="0" w:line="288" w:lineRule="auto"/>
        <w:jc w:val="center"/>
        <w:rPr>
          <w:rFonts w:ascii="Times New Roman" w:eastAsia="Calibri" w:hAnsi="Times New Roman" w:cs="Times New Roman"/>
          <w:b/>
          <w:spacing w:val="-2"/>
          <w:sz w:val="28"/>
          <w:szCs w:val="24"/>
        </w:rPr>
      </w:pPr>
      <w:r w:rsidRPr="00FF3542">
        <w:rPr>
          <w:rFonts w:ascii="Times New Roman" w:eastAsia="Calibri" w:hAnsi="Times New Roman" w:cs="Times New Roman"/>
          <w:b/>
          <w:spacing w:val="-2"/>
          <w:sz w:val="28"/>
          <w:szCs w:val="24"/>
        </w:rPr>
        <w:t>TÀI LIỆU GIỚI THIỆU LUẬT SỬA ĐỔI, BỔ SUNG MỘT SỐ ĐIỀU VÀ PHỤ LỤC DANH MỤC CHỈ TIÊU THỐNG KÊ QUỐC GIA CỦA</w:t>
      </w:r>
    </w:p>
    <w:p w:rsidR="00FF3542" w:rsidRPr="00FF3542" w:rsidRDefault="00FF3542" w:rsidP="00FF3542">
      <w:pPr>
        <w:spacing w:after="0" w:line="288" w:lineRule="auto"/>
        <w:jc w:val="center"/>
        <w:rPr>
          <w:rFonts w:ascii="Times New Roman" w:eastAsia="Calibri" w:hAnsi="Times New Roman" w:cs="Times New Roman"/>
          <w:noProof/>
          <w:sz w:val="28"/>
          <w:szCs w:val="28"/>
        </w:rPr>
      </w:pPr>
      <w:r w:rsidRPr="00FF3542">
        <w:rPr>
          <w:rFonts w:ascii="Times New Roman" w:eastAsia="Calibri" w:hAnsi="Times New Roman" w:cs="Times New Roman"/>
          <w:b/>
          <w:spacing w:val="-2"/>
          <w:sz w:val="28"/>
          <w:szCs w:val="24"/>
        </w:rPr>
        <w:t xml:space="preserve"> LUẬT THỐNG KÊ</w:t>
      </w:r>
    </w:p>
    <w:p w:rsidR="00FF3542" w:rsidRPr="00FF3542" w:rsidRDefault="00FF3542" w:rsidP="00FF3542">
      <w:pPr>
        <w:spacing w:before="120" w:after="120" w:line="288" w:lineRule="auto"/>
        <w:ind w:firstLine="720"/>
        <w:jc w:val="both"/>
        <w:outlineLvl w:val="0"/>
        <w:rPr>
          <w:rFonts w:ascii="Times New Roman" w:eastAsia="Calibri" w:hAnsi="Times New Roman" w:cs="Times New Roman"/>
          <w:b/>
          <w:bCs/>
          <w:sz w:val="10"/>
          <w:szCs w:val="28"/>
        </w:rPr>
      </w:pPr>
    </w:p>
    <w:p w:rsidR="00FF3542" w:rsidRPr="00FF3542" w:rsidRDefault="00FF3542" w:rsidP="00FF3542">
      <w:pPr>
        <w:spacing w:before="120" w:after="120" w:line="288"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lastRenderedPageBreak/>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28/NQ-CP của Chính phủ ngày 03/3/2021 ban hành Chiến lược quốc gia về bình đẳng giới giai đoạn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w:t>
      </w:r>
      <w:r w:rsidRPr="00FF3542">
        <w:rPr>
          <w:rFonts w:ascii="Times New Roman" w:eastAsia="Times New Roman" w:hAnsi="Times New Roman" w:cs="Times New Roman"/>
          <w:sz w:val="28"/>
          <w:szCs w:val="28"/>
          <w:lang w:val="nb-NO"/>
        </w:rPr>
        <w:lastRenderedPageBreak/>
        <w:t>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kỹ năng cơ bản về công nghệ thông tin và truyền thông, tỷ lệ người Việt Nam tham gia mạng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val="x-none" w:eastAsia="x-none"/>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lang w:val="x-none" w:eastAsia="x-none"/>
        </w:rPr>
        <w:t xml:space="preserve">Danh mục chỉ tiêu thống kê quốc gia quy định trong Luật Thống kê đã có nhiều đổi mới, cập nhật, đón đầu xu hướng nhưng vẫn chưa đủ đáp ứng 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lang w:val="x-none" w:eastAsia="x-none"/>
        </w:rPr>
        <w:t xml:space="preserve"> </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eastAsia="x-none"/>
        </w:rPr>
        <w:t xml:space="preserve">- </w:t>
      </w:r>
      <w:r w:rsidRPr="00FF3542">
        <w:rPr>
          <w:rFonts w:ascii="Times New Roman" w:eastAsia="Times New Roman" w:hAnsi="Times New Roman" w:cs="Times New Roman"/>
          <w:sz w:val="28"/>
          <w:szCs w:val="28"/>
          <w:lang w:val="x-none" w:eastAsia="x-none"/>
        </w:rPr>
        <w:t xml:space="preserve">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lang w:val="x-none" w:eastAsia="x-none"/>
        </w:rPr>
        <w:t xml:space="preserve">xây dựng chương trình điều </w:t>
      </w:r>
      <w:r w:rsidRPr="00FF3542">
        <w:rPr>
          <w:rFonts w:ascii="Times New Roman" w:eastAsia="MS Gothic" w:hAnsi="Times New Roman" w:cs="Times New Roman"/>
          <w:sz w:val="28"/>
          <w:szCs w:val="28"/>
          <w:lang w:val="x-none" w:eastAsia="x-none"/>
        </w:rPr>
        <w:lastRenderedPageBreak/>
        <w:t>tra thống kê quốc gia, sử dụng dữ liệu hành chính cho hoạt động thống kê nhà nước, chế độ báo cáo thống kê và chương trình khác có liên quan đến hoạt động thống kê. Đây là những cơ sở pháp lý bảo đảm cho việc thu thập, tổng hợp, biên soạn các chỉ tiêu thống kê quốc gia trên thực tiễn.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FF3542">
      <w:pPr>
        <w:spacing w:before="120" w:after="120"/>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FF3542">
      <w:pPr>
        <w:spacing w:before="120" w:after="120"/>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FF3542">
      <w:pPr>
        <w:spacing w:before="120" w:after="120"/>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pacing w:val="-1"/>
          <w:sz w:val="28"/>
          <w:szCs w:val="28"/>
          <w:lang w:val="nl-NL" w:eastAsia="x-none"/>
        </w:rPr>
      </w:pPr>
      <w:r w:rsidRPr="00FF3542">
        <w:rPr>
          <w:rFonts w:ascii="Times New Roman" w:eastAsia="Times New Roman" w:hAnsi="Times New Roman" w:cs="Times New Roman"/>
          <w:spacing w:val="-1"/>
          <w:sz w:val="28"/>
          <w:szCs w:val="28"/>
          <w:lang w:val="nl-NL" w:eastAsia="x-none"/>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 Thứ tư, bảo đảm tính khả thi khi </w:t>
      </w:r>
      <w:r w:rsidRPr="00FF3542">
        <w:rPr>
          <w:rFonts w:ascii="Times New Roman" w:eastAsia="Times New Roman" w:hAnsi="Times New Roman" w:cs="Times New Roman"/>
          <w:sz w:val="28"/>
          <w:szCs w:val="28"/>
          <w:lang w:val="x-none" w:eastAsia="x-none"/>
        </w:rPr>
        <w:t>Luật Thống kê sửa đổi, bổ sung</w:t>
      </w:r>
      <w:r w:rsidRPr="00FF3542" w:rsidDel="00E51135">
        <w:rPr>
          <w:rFonts w:ascii="Times New Roman" w:eastAsia="Times New Roman" w:hAnsi="Times New Roman" w:cs="Times New Roman"/>
          <w:sz w:val="28"/>
          <w:szCs w:val="28"/>
          <w:lang w:val="nl-NL" w:eastAsia="x-none"/>
        </w:rPr>
        <w:t xml:space="preserve"> </w:t>
      </w:r>
      <w:r w:rsidRPr="00FF3542">
        <w:rPr>
          <w:rFonts w:ascii="Times New Roman" w:eastAsia="Times New Roman" w:hAnsi="Times New Roman" w:cs="Times New Roman"/>
          <w:sz w:val="28"/>
          <w:szCs w:val="28"/>
          <w:lang w:val="nl-NL" w:eastAsia="x-none"/>
        </w:rPr>
        <w:t>được ban hành, áp dụng thuận lợi trong thực tiễn;</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b/>
          <w:i/>
          <w:sz w:val="28"/>
          <w:szCs w:val="28"/>
          <w:lang w:val="nl-NL" w:eastAsia="x-none"/>
        </w:rPr>
      </w:pPr>
      <w:r w:rsidRPr="00FF3542">
        <w:rPr>
          <w:rFonts w:ascii="Times New Roman" w:eastAsia="Times New Roman" w:hAnsi="Times New Roman" w:cs="Times New Roman"/>
          <w:b/>
          <w:i/>
          <w:sz w:val="28"/>
          <w:szCs w:val="28"/>
          <w:lang w:val="nl-NL" w:eastAsia="x-none"/>
        </w:rPr>
        <w:t>2.2. Mục tiêu</w:t>
      </w:r>
    </w:p>
    <w:p w:rsidR="00FF3542" w:rsidRPr="00FF3542" w:rsidRDefault="00FF3542" w:rsidP="00FF3542">
      <w:pPr>
        <w:suppressAutoHyphens/>
        <w:spacing w:before="120" w:after="120" w:line="288"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lastRenderedPageBreak/>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lastRenderedPageBreak/>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trên Cổng thông tin điện tử của Chính phủ và Bộ Kế hoạch và Đầu tư để lấy ý kiến nhân dân và gửi xin ý kiến bằng văn bản đến các Bộ, ngành, tổ chức có liên quan và UBND các tỉnh, thành phố trực thuộc Trung ương ngày 05/5/2021; tổng hợp tiếp thu, giải trình ý kiến góp ý của các cơ quan, tổ chức;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FF3542">
      <w:pPr>
        <w:spacing w:before="120" w:after="120" w:line="288"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lastRenderedPageBreak/>
        <w:t xml:space="preserve">Điều 1. Sửa đổi, bổ sung một số điều và Phụ lục Danh mục chỉ tiêu thống kê quốc gia của Luật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Sửa đổi, bổ sung khoản 6 Điều 17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“6. Bộ trưởng Bộ Kế hoạch và Đầu tư chủ trì, phối hợp với bộ, ngành và địa phương thực hiện các nhiệm vụ sau đây:</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2. </w:t>
      </w:r>
      <w:r w:rsidRPr="00FF3542">
        <w:rPr>
          <w:rFonts w:ascii="Times New Roman" w:eastAsia="Times New Roman" w:hAnsi="Times New Roman" w:cs="Times New Roman"/>
          <w:sz w:val="28"/>
          <w:szCs w:val="28"/>
          <w:lang w:val="nl-NL" w:eastAsia="x-none"/>
        </w:rPr>
        <w:t xml:space="preserve">Sửa đổi, </w:t>
      </w:r>
      <w:r w:rsidRPr="00FF3542">
        <w:rPr>
          <w:rFonts w:ascii="Times New Roman" w:eastAsia="Times New Roman" w:hAnsi="Times New Roman" w:cs="Times New Roman"/>
          <w:sz w:val="28"/>
          <w:szCs w:val="28"/>
          <w:lang w:val="x-none" w:eastAsia="x-none"/>
        </w:rPr>
        <w:t>bổ sung điểm d khoản 2 Điều 48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Cs/>
          <w:sz w:val="28"/>
          <w:szCs w:val="28"/>
          <w:lang w:val="x-none" w:eastAsia="x-none"/>
        </w:rPr>
      </w:pPr>
      <w:r w:rsidRPr="00FF3542">
        <w:rPr>
          <w:rFonts w:ascii="Times New Roman" w:eastAsia="Times New Roman" w:hAnsi="Times New Roman" w:cs="Times New Roman"/>
          <w:bCs/>
          <w:sz w:val="28"/>
          <w:szCs w:val="28"/>
          <w:lang w:val="x-none" w:eastAsia="x-none"/>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
          <w:i/>
          <w:sz w:val="28"/>
          <w:szCs w:val="28"/>
          <w:lang w:val="x-none" w:eastAsia="x-none"/>
        </w:rPr>
      </w:pPr>
      <w:r w:rsidRPr="00FF3542">
        <w:rPr>
          <w:rFonts w:ascii="Times New Roman" w:eastAsia="Times New Roman" w:hAnsi="Times New Roman" w:cs="Times New Roman"/>
          <w:bCs/>
          <w:i/>
          <w:sz w:val="28"/>
          <w:szCs w:val="28"/>
          <w:lang w:val="x-none" w:eastAsia="x-none"/>
        </w:rPr>
        <w:t>Điều 2. Điều khoản thi hành</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Luật này có hiệu lực thi hành từ ngày 01 tháng 01 năm 2022.</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bookmarkStart w:id="0" w:name="_Hlk87287474"/>
      <w:r w:rsidRPr="00FF3542">
        <w:rPr>
          <w:rFonts w:ascii="Times New Roman" w:eastAsia="Times New Roman" w:hAnsi="Times New Roman" w:cs="Times New Roman"/>
          <w:sz w:val="28"/>
          <w:szCs w:val="28"/>
          <w:lang w:val="x-none" w:eastAsia="x-none"/>
        </w:rPr>
        <w:t>2. Chương trình điều tra thống kê quốc gia, chế độ báo cáo thống kê cấp quốc gia phục vụ biên soạn các chỉ tiêu thống kê quy định tại Phụ lục Danh mục chỉ tiêu thống kê quốc gia ban hành kèm theo Luật Thống kê số 89/2015/QH13 được tiếp tục thực hiện đến hết ngày 31 tháng 12 năm 2022.</w:t>
      </w:r>
    </w:p>
    <w:bookmarkEnd w:id="0"/>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Phụ lục kèm theo: Danh mục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FF3542">
      <w:pPr>
        <w:spacing w:before="120" w:after="120" w:line="288"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eastAsia="x-none"/>
        </w:rPr>
      </w:pPr>
      <w:r w:rsidRPr="00FF3542">
        <w:rPr>
          <w:rFonts w:ascii="Times New Roman" w:eastAsia="Times New Roman" w:hAnsi="Times New Roman" w:cs="Times New Roman"/>
          <w:sz w:val="28"/>
          <w:szCs w:val="28"/>
          <w:lang w:val="nl-NL" w:eastAsia="x-none"/>
        </w:rPr>
        <w:lastRenderedPageBreak/>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eastAsia="x-none"/>
        </w:rPr>
        <w:t xml:space="preserve"> </w:t>
      </w:r>
      <w:r w:rsidRPr="00FF3542">
        <w:rPr>
          <w:rFonts w:ascii="Times New Roman" w:eastAsia="Times New Roman" w:hAnsi="Times New Roman" w:cs="Times New Roman"/>
          <w:sz w:val="28"/>
          <w:szCs w:val="28"/>
          <w:lang w:val="fi-FI" w:eastAsia="x-none"/>
        </w:rPr>
        <w:t xml:space="preserve">sửa đổi, bổ sung </w:t>
      </w:r>
      <w:r w:rsidRPr="00FF3542">
        <w:rPr>
          <w:rFonts w:ascii="Times New Roman" w:eastAsia="Times New Roman" w:hAnsi="Times New Roman" w:cs="Times New Roman"/>
          <w:sz w:val="28"/>
          <w:szCs w:val="28"/>
          <w:lang w:val="x-none" w:eastAsia="x-none"/>
        </w:rPr>
        <w:t xml:space="preserve">khoản 6 Điều 17, điểm d khoản 2 Điều 48 </w:t>
      </w:r>
      <w:r w:rsidRPr="00FF3542">
        <w:rPr>
          <w:rFonts w:ascii="Times New Roman" w:eastAsia="Times New Roman" w:hAnsi="Times New Roman" w:cs="Times New Roman"/>
          <w:sz w:val="28"/>
          <w:szCs w:val="28"/>
          <w:lang w:val="fi-FI" w:eastAsia="x-none"/>
        </w:rPr>
        <w:t>và thay thế Phụ lục Danh mục chỉ tiêu thống kê quốc gia</w:t>
      </w:r>
      <w:r w:rsidRPr="00FF3542">
        <w:rPr>
          <w:rFonts w:ascii="Times New Roman" w:eastAsia="Times New Roman" w:hAnsi="Times New Roman" w:cs="Times New Roman"/>
          <w:bCs/>
          <w:sz w:val="28"/>
          <w:szCs w:val="28"/>
          <w:lang w:val="x-none" w:eastAsia="x-none"/>
        </w:rPr>
        <w:t xml:space="preserve">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FF3542">
      <w:pPr>
        <w:spacing w:before="120" w:after="120" w:line="288"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lang w:val="x-none" w:eastAsia="x-none"/>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w:t>
      </w:r>
      <w:r w:rsidRPr="00FF3542">
        <w:rPr>
          <w:rFonts w:ascii="Times New Roman" w:eastAsia="Times New Roman" w:hAnsi="Times New Roman" w:cs="Times New Roman"/>
          <w:sz w:val="28"/>
          <w:szCs w:val="28"/>
          <w:lang w:val="nl-NL"/>
        </w:rPr>
        <w:lastRenderedPageBreak/>
        <w:t>Thống kê Liên hợp quốc đưa ra ba vòng đánh giá lại số liệu GDP nhằm xử lý những bất cập nảy sinh trong quá trình biên soạn số liệu ước tính, số liệu sơ bộ và số liệu chính thức theo quý và năm. Ba vòng đánh giá lại được thực hiện một phần hay toàn bộ phụ thuộc vào khả năng thực hiện của cơ quan thống kê và thực tiễn tổ chức, quản lý hoạt động kinh tế - xã hội của mỗi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FF3542">
      <w:pPr>
        <w:shd w:val="clear" w:color="auto" w:fill="FFFFFF"/>
        <w:spacing w:before="120" w:after="120" w:line="288" w:lineRule="auto"/>
        <w:ind w:firstLine="720"/>
        <w:jc w:val="both"/>
        <w:rPr>
          <w:rFonts w:ascii="Times New Roman" w:eastAsia="Calibri" w:hAnsi="Times New Roman" w:cs="Times New Roman"/>
          <w:bCs/>
          <w:i/>
          <w:sz w:val="28"/>
          <w:szCs w:val="28"/>
          <w:lang w:val="nl-NL" w:eastAsia="x-none"/>
        </w:rPr>
      </w:pPr>
      <w:r w:rsidRPr="00FF3542">
        <w:rPr>
          <w:rFonts w:ascii="Times New Roman" w:eastAsia="Calibri" w:hAnsi="Times New Roman" w:cs="Times New Roman"/>
          <w:bCs/>
          <w:i/>
          <w:sz w:val="28"/>
          <w:szCs w:val="28"/>
          <w:lang w:val="x-none" w:eastAsia="x-none"/>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eastAsia="x-none"/>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FF3542">
      <w:pPr>
        <w:spacing w:before="120" w:after="120" w:line="288"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 xml:space="preserve">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w:t>
      </w:r>
      <w:r w:rsidRPr="00FF3542">
        <w:rPr>
          <w:rFonts w:ascii="Times New Roman" w:eastAsia="Times New Roman" w:hAnsi="Times New Roman" w:cs="Times New Roman"/>
          <w:sz w:val="28"/>
          <w:szCs w:val="28"/>
          <w:shd w:val="clear" w:color="auto" w:fill="FFFFFF"/>
          <w:lang w:val="nl-NL"/>
        </w:rPr>
        <w:lastRenderedPageBreak/>
        <w:t>tỉnh, cấp huyện, cấp xã và các hệ thống chỉ tiêu thống kê đa ngành, đa lĩnh vực và liên kết vùng; (3) chỉ tiêu thống kê được lựa chọn quy định tại danh mục phải 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lastRenderedPageBreak/>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Bỏ: 14 chỉ tiêu do không còn phù hợp với thực tế, không bảo đảm tính khả thi hoặc đã có trong nội dung của chỉ tiêu thống kê khác.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w:t>
      </w:r>
      <w:r w:rsidRPr="00FF3542">
        <w:rPr>
          <w:rFonts w:ascii="Times New Roman" w:eastAsia="Times New Roman" w:hAnsi="Times New Roman" w:cs="Times New Roman"/>
          <w:sz w:val="28"/>
          <w:szCs w:val="28"/>
          <w:shd w:val="clear" w:color="auto" w:fill="FFFFFF"/>
          <w:lang w:val="it-IT" w:eastAsia="en-GB"/>
        </w:rPr>
        <w:lastRenderedPageBreak/>
        <w:t xml:space="preserve">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lastRenderedPageBreak/>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triển khai và thực tiễn vẫn bảo đảm thực hiện trong thời gian tới. Giảm chi phí cho các tổ chức, doanh nghiệp, người dùng tin.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w:t>
      </w:r>
      <w:r w:rsidRPr="00FF3542">
        <w:rPr>
          <w:rFonts w:ascii="Times New Roman" w:eastAsia="Times New Roman" w:hAnsi="Times New Roman" w:cs="Times New Roman"/>
          <w:sz w:val="28"/>
          <w:szCs w:val="28"/>
          <w:lang w:val="nl-NL"/>
        </w:rPr>
        <w:lastRenderedPageBreak/>
        <w:t>thống kê cũng như việc tổ chức các cuộc điều tra thống kê, thu thập thông tin, số liệu phục vụ cho nhu cầu sản xuất, kinh doanh hoặc các nhu cầu hợp pháp khác.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FF3542">
      <w:pPr>
        <w:tabs>
          <w:tab w:val="num" w:pos="360"/>
        </w:tabs>
        <w:spacing w:before="120" w:after="120" w:line="288"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khi  cần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Tuy nhiên, nhờ việc ứng dụng công nghệ thông tin, kinh phí để thực hiện thu thập, biên soạn các chỉ tiêu thống kê quốc gia nhìn chung đã giảm rất nhiều so với trước. Một phần các chỉ tiêu thống kê này đã được thu thập qua dữ liệu hành chính, qua hệ thống thông tin điều hành của Chính phủ hay các cuộc điều tra thống kê đã áp dụng triệt để công nghệ thông tin.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Việc đánh giá chi phí cho một chỉ tiêu thống kê quốc gia rất khó để định lượng do: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thu thập tổng hợp từ một hay nhiều nguồn số liệu (điều tra thống kê, báo cáo thống kê hay dữ liệu hành chính);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thể do nhiều cơ quan thu thập, tổng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bổ sung các chỉ tiêu thống kê quốc gia về giới sẽ khắc phục những hạn chế của tình trạng thiếu số liệu để theo dõi, giám sát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Một số chỉ tiêu thống kê hiện tại chưa được phân tổ theo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it-IT"/>
        </w:rPr>
      </w:pPr>
      <w:r w:rsidRPr="00FF3542">
        <w:rPr>
          <w:rFonts w:ascii="Times New Roman" w:eastAsia="Times New Roman" w:hAnsi="Times New Roman" w:cs="Times New Roman"/>
          <w:b/>
          <w:sz w:val="28"/>
          <w:szCs w:val="28"/>
          <w:lang w:val="it-IT"/>
        </w:rPr>
        <w:t>7. Triển khai hoạt động thi 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lastRenderedPageBreak/>
        <w:t xml:space="preserve">Luật sửa đổi có hiệu lực thi hành từ 01/01/2022. Để Luật sửa đổi được  triển khai hiệu lực, hiệu quả trong thực tiễn, </w:t>
      </w:r>
      <w:r w:rsidRPr="00FF3542">
        <w:rPr>
          <w:rFonts w:ascii="Times New Roman" w:eastAsia="Times New Roman" w:hAnsi="Times New Roman" w:cs="Times New Roman"/>
          <w:sz w:val="28"/>
          <w:szCs w:val="28"/>
          <w:lang w:val="nl-NL"/>
        </w:rPr>
        <w:t xml:space="preserve">Bộ Kế hoạch và Đầu tư đã ban hành </w:t>
      </w:r>
      <w:r w:rsidRPr="00FF3542">
        <w:rPr>
          <w:rFonts w:ascii="Times New Roman" w:eastAsia="Times New Roman" w:hAnsi="Times New Roman" w:cs="Times New Roman"/>
          <w:sz w:val="28"/>
          <w:szCs w:val="28"/>
          <w:lang w:val="nb-NO"/>
        </w:rPr>
        <w:t>Kế hoạch triển khai thi hành Luật sửa đổi, bổ sung một số điều và Phụ lục danh mục chỉ tiêu thống kê quốc gia của Luật Thống kê theo Công văn số 8663/BKHĐT-TCTK ngày 09/12/2021. Kế hoạch tập trung vào những nội dung công việc chủ yếu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b-NO"/>
        </w:rPr>
        <w:t>7.1. Xây dựng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b-NO"/>
        </w:rPr>
        <w:t xml:space="preserve">- Xây dựng, trình Chính phủ ban hành 02 nghị định gồm: Nghị định quy định </w:t>
      </w:r>
      <w:r w:rsidRPr="00FF3542">
        <w:rPr>
          <w:rFonts w:ascii="Times New Roman" w:eastAsia="Times New Roman" w:hAnsi="Times New Roman" w:cs="Times New Roman"/>
          <w:sz w:val="28"/>
          <w:szCs w:val="28"/>
          <w:lang w:val="nl-NL"/>
        </w:rPr>
        <w:t xml:space="preserve">nội dung chỉ tiêu thống kê thuộc hệ thống chỉ tiêu thống kê quốc gia và quy trình biên soạn chỉ tiêu tổng sản phẩm trong nước, chỉ tiêu tổng sản phẩm trên địa bàn tỉnh, thành phố trực thuộc Trung ương (dự kiến ban hành </w:t>
      </w:r>
      <w:r w:rsidRPr="00FF3542">
        <w:rPr>
          <w:rFonts w:ascii="Times New Roman" w:eastAsia="Times New Roman" w:hAnsi="Times New Roman" w:cs="Times New Roman"/>
          <w:sz w:val="28"/>
          <w:szCs w:val="28"/>
          <w:lang w:val="nb-NO"/>
        </w:rPr>
        <w:t>trong quý II/2022)</w:t>
      </w:r>
      <w:r w:rsidRPr="00FF3542">
        <w:rPr>
          <w:rFonts w:ascii="Times New Roman" w:eastAsia="Times New Roman" w:hAnsi="Times New Roman" w:cs="Times New Roman"/>
          <w:sz w:val="28"/>
          <w:szCs w:val="28"/>
          <w:lang w:val="nl-NL"/>
        </w:rPr>
        <w:t xml:space="preserve"> và </w:t>
      </w:r>
      <w:r w:rsidRPr="00FF3542">
        <w:rPr>
          <w:rFonts w:ascii="Times New Roman" w:eastAsia="Times New Roman" w:hAnsi="Times New Roman" w:cs="Times New Roman"/>
          <w:sz w:val="28"/>
          <w:szCs w:val="28"/>
          <w:lang w:val="nb-NO"/>
        </w:rPr>
        <w:t>Nghị định quy định chế độ báo cáo thống kê cấp quốc gia (d</w:t>
      </w:r>
      <w:r w:rsidRPr="00FF3542">
        <w:rPr>
          <w:rFonts w:ascii="Times New Roman" w:eastAsia="Times New Roman" w:hAnsi="Times New Roman" w:cs="Times New Roman"/>
          <w:sz w:val="28"/>
          <w:szCs w:val="28"/>
          <w:lang w:val="nl-NL"/>
        </w:rPr>
        <w:t xml:space="preserve">ự kiến ban hành </w:t>
      </w:r>
      <w:r w:rsidRPr="00FF3542">
        <w:rPr>
          <w:rFonts w:ascii="Times New Roman" w:eastAsia="Times New Roman" w:hAnsi="Times New Roman" w:cs="Times New Roman"/>
          <w:sz w:val="28"/>
          <w:szCs w:val="28"/>
          <w:lang w:val="nb-NO"/>
        </w:rPr>
        <w:t>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z w:val="28"/>
          <w:szCs w:val="28"/>
          <w:lang w:val="nl-NL"/>
        </w:rPr>
        <w:t xml:space="preserve">- Xây dựng, trình Thủ tướng Chính phủ ban hành 02 quyết định trong quý II/2022 gồm: Quyết định quy định chương trình điều tra thống kê quốc gia và </w:t>
      </w:r>
      <w:r w:rsidRPr="00FF3542">
        <w:rPr>
          <w:rFonts w:ascii="Times New Roman" w:eastAsia="Times New Roman" w:hAnsi="Times New Roman" w:cs="Times New Roman"/>
          <w:spacing w:val="-2"/>
          <w:sz w:val="28"/>
          <w:szCs w:val="28"/>
          <w:lang w:val="nl-NL"/>
        </w:rPr>
        <w:t>Quyết định quy định hệ thống chỉ tiêu thống kê cấp tỉnh, cấp huyện, cấp xã.</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Cập nhật, sửa đổi, bổ sung hệ thống chỉ tiêu thống kê bộ, ngành (dự kiến ban hành trong quý III/2022) và chế độ báo cáo thống kê cấp Bộ, ngành (dự kiến ban hành trong quý IV/2022) phù hợp với hệ thống chỉ tiêu thống kê quốc gia mới và triển khai thu thập, tổng hợp các chỉ tiêu thống kê quốc gia được phân công thực hiện.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ban hành Thông tư quy định chế độ báo cáo thống kê áp dụng đối với Cục Thống kê tỉnh, thành phố trực thuộc Trung ương (dự kiến ban hành 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7.2. Tổ chức rà soát các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Tổ chức rà soát các văn bản quy phạm pháp luật hiện hành liên quan đến Luật sửa đổi, bổ sung một số điều và Phụ lục Danh mục chỉ tiêu thống kê quốc gia của Luật Thống kê; đề xuất sửa đổi, bổ sung hoặc ban hành mới các văn bản quy phạm pháp luật bảo đảm thi hành hiệu quả Luật Thống kê ở Trung ương và địa phương: Dự kiến hoàn thành trong quý II/2022.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pacing w:val="-4"/>
          <w:sz w:val="28"/>
          <w:szCs w:val="28"/>
          <w:lang w:val="nl-NL"/>
        </w:rPr>
      </w:pPr>
      <w:r w:rsidRPr="00FF3542">
        <w:rPr>
          <w:rFonts w:ascii="Times New Roman" w:eastAsia="Times New Roman" w:hAnsi="Times New Roman" w:cs="Times New Roman"/>
          <w:b/>
          <w:spacing w:val="-4"/>
          <w:sz w:val="28"/>
          <w:szCs w:val="28"/>
          <w:lang w:val="nl-NL"/>
        </w:rPr>
        <w:t>7.3. Tổ chức quán triệt thực hiện và tuyên truyền, phổ biến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Phối hợp với Bộ Tư pháp biên soạn tài liệu tuyên truyền, phổ biến Luật sửa đổi (đã hoàn thành tháng 12/2021).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lastRenderedPageBreak/>
        <w:t>- Tổ chức quán triệt thực hiện Luật sửa đổi: Hội nghị quán triệt thực hiện Luật sửa đổi, bổ sung một số điều và Phụ lục Danh mục chỉ tiêu thống kê quốc gia của Luật Thống kê ở Trung ương và Tổ chức quán triệt thực hiện Luật thống kê cho cán bộ, công chức thuộc Chi cục Thống kê, các phòng, ban có liên quan thuộc Ủy ban nhân dân cấp huyện và Ủy ban nhân dân các xã, phường, thị trấn,…:</w:t>
      </w:r>
      <w:r w:rsidRPr="00FF3542">
        <w:rPr>
          <w:rFonts w:ascii="Times New Roman" w:eastAsia="Times New Roman" w:hAnsi="Times New Roman" w:cs="Times New Roman"/>
          <w:sz w:val="28"/>
          <w:szCs w:val="28"/>
          <w:lang w:val="nl-NL"/>
        </w:rPr>
        <w:t xml:space="preserve"> Dự kiến hoàn thành trong quý II/2022.</w:t>
      </w:r>
      <w:r w:rsidRPr="00FF3542">
        <w:rPr>
          <w:rFonts w:ascii="Times New Roman" w:eastAsia="Times New Roman" w:hAnsi="Times New Roman" w:cs="Times New Roman"/>
          <w:spacing w:val="-2"/>
          <w:sz w:val="28"/>
          <w:szCs w:val="28"/>
          <w:lang w:val="nl-NL"/>
        </w:rPr>
        <w:t xml:space="preserve">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 Tuyên truyền, phổ biến Luật sửa đổi ở Trung ương và địa phương gồm các hoạt động như: Biên soạn và cấp phát tài liệu phục vụ công tác tuyên truyền, phổ biến Luật sửa đổi, bổ sung một số điều và Phụ lục Danh mục chỉ tiêu thống kê quốc gia của Luật Thống kê và các văn bản hướng dẫn thi hành; tổ chức tuyên truyền, phổ biến Luật sửa đổi, bổ sung một số điều và Phụ lục Danh mục chỉ tiêu thống kê quốc gia của Luật Thống kê bằng các hình thức phù hợp với từng nhóm đối tượng, địa bàn: Dự kiến hoàn thành trong năm 2022 </w:t>
      </w:r>
      <w:r w:rsidRPr="00FF3542">
        <w:rPr>
          <w:rFonts w:ascii="Times New Roman" w:eastAsia="Times New Roman" w:hAnsi="Times New Roman" w:cs="Times New Roman"/>
          <w:sz w:val="28"/>
          <w:szCs w:val="28"/>
          <w:lang w:val="x-none" w:eastAsia="x-none"/>
        </w:rPr>
        <w:br/>
        <w:t>và các năm tiếp theo./.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p>
    <w:p w:rsidR="000D4DD6" w:rsidRPr="00FF3542" w:rsidRDefault="000D4DD6">
      <w:pPr>
        <w:rPr>
          <w:lang w:val="nl-NL"/>
        </w:rPr>
      </w:pPr>
    </w:p>
    <w:sectPr w:rsidR="000D4DD6" w:rsidRPr="00FF3542" w:rsidSect="007B0D5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D3" w:rsidRDefault="000E07D3">
      <w:pPr>
        <w:spacing w:after="0" w:line="240" w:lineRule="auto"/>
      </w:pPr>
      <w:r>
        <w:separator/>
      </w:r>
    </w:p>
  </w:endnote>
  <w:endnote w:type="continuationSeparator" w:id="0">
    <w:p w:rsidR="000E07D3" w:rsidRDefault="000E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D3" w:rsidRDefault="000E07D3">
      <w:pPr>
        <w:spacing w:after="0" w:line="240" w:lineRule="auto"/>
      </w:pPr>
      <w:r>
        <w:separator/>
      </w:r>
    </w:p>
  </w:footnote>
  <w:footnote w:type="continuationSeparator" w:id="0">
    <w:p w:rsidR="000E07D3" w:rsidRDefault="000E0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77321"/>
      <w:docPartObj>
        <w:docPartGallery w:val="Page Numbers (Top of Page)"/>
        <w:docPartUnique/>
      </w:docPartObj>
    </w:sdtPr>
    <w:sdtEndPr>
      <w:rPr>
        <w:rFonts w:ascii="Times New Roman" w:hAnsi="Times New Roman" w:cs="Times New Roman"/>
        <w:noProof/>
        <w:sz w:val="24"/>
        <w:szCs w:val="24"/>
      </w:rPr>
    </w:sdtEndPr>
    <w:sdtContent>
      <w:bookmarkStart w:id="1" w:name="_GoBack" w:displacedByCustomXml="prev"/>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Pr>
            <w:rFonts w:ascii="Times New Roman" w:hAnsi="Times New Roman" w:cs="Times New Roman"/>
            <w:noProof/>
            <w:sz w:val="24"/>
            <w:szCs w:val="24"/>
          </w:rPr>
          <w:t>22</w:t>
        </w:r>
        <w:r w:rsidRPr="00A95362">
          <w:rPr>
            <w:rFonts w:ascii="Times New Roman" w:hAnsi="Times New Roman" w:cs="Times New Roman"/>
            <w:noProof/>
            <w:sz w:val="24"/>
            <w:szCs w:val="24"/>
          </w:rPr>
          <w:fldChar w:fldCharType="end"/>
        </w:r>
      </w:p>
    </w:sdtContent>
  </w:sdt>
  <w:bookmarkEnd w:id="1"/>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469124"/>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841AD" w:rsidRDefault="000E0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42"/>
    <w:rsid w:val="000D4DD6"/>
    <w:rsid w:val="000E07D3"/>
    <w:rsid w:val="00A95362"/>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E4922-EA13-4D48-B847-F6BFAD046BD3}"/>
</file>

<file path=customXml/itemProps2.xml><?xml version="1.0" encoding="utf-8"?>
<ds:datastoreItem xmlns:ds="http://schemas.openxmlformats.org/officeDocument/2006/customXml" ds:itemID="{EDDF604F-8190-41B2-B417-8504A1253DB7}"/>
</file>

<file path=customXml/itemProps3.xml><?xml version="1.0" encoding="utf-8"?>
<ds:datastoreItem xmlns:ds="http://schemas.openxmlformats.org/officeDocument/2006/customXml" ds:itemID="{1D57DEC7-96FD-4BD2-BDB5-835CE8E3641F}"/>
</file>

<file path=docProps/app.xml><?xml version="1.0" encoding="utf-8"?>
<Properties xmlns="http://schemas.openxmlformats.org/officeDocument/2006/extended-properties" xmlns:vt="http://schemas.openxmlformats.org/officeDocument/2006/docPropsVTypes">
  <Template>Normal</Template>
  <TotalTime>0</TotalTime>
  <Pages>22</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2021-12-28T22:44:00Z</dcterms:created>
  <dcterms:modified xsi:type="dcterms:W3CDTF">2021-12-28T22:44:00Z</dcterms:modified>
</cp:coreProperties>
</file>